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Conformément aux dispositions de la note d’information visée par</w:t>
      </w:r>
    </w:p>
    <w:p w:rsidR="00440CD2" w:rsidRPr="00C10CB7" w:rsidRDefault="00C10CB7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L’AMMC</w:t>
      </w:r>
      <w:r w:rsidR="00440CD2" w:rsidRPr="00C10CB7">
        <w:rPr>
          <w:rFonts w:ascii="DIN-Light" w:hAnsi="DIN-Light" w:cs="DIN-Light"/>
          <w:sz w:val="26"/>
          <w:szCs w:val="18"/>
        </w:rPr>
        <w:t xml:space="preserve"> en date du </w:t>
      </w:r>
      <w:r w:rsidR="00B17F8E" w:rsidRPr="00C10CB7">
        <w:rPr>
          <w:rFonts w:ascii="DINBold" w:hAnsi="DINBold" w:cs="DINBold"/>
          <w:b/>
          <w:bCs/>
          <w:sz w:val="26"/>
          <w:szCs w:val="18"/>
        </w:rPr>
        <w:t>12 Juin 2019</w:t>
      </w:r>
      <w:r w:rsidR="00440CD2" w:rsidRPr="00C10CB7">
        <w:rPr>
          <w:rFonts w:ascii="DINBold" w:hAnsi="DINBold" w:cs="DINBold"/>
          <w:b/>
          <w:bCs/>
          <w:sz w:val="26"/>
          <w:szCs w:val="18"/>
        </w:rPr>
        <w:t xml:space="preserve"> </w:t>
      </w:r>
      <w:r w:rsidR="00440CD2" w:rsidRPr="00C10CB7">
        <w:rPr>
          <w:rFonts w:ascii="DIN-Light" w:hAnsi="DIN-Light" w:cs="DIN-Light"/>
          <w:sz w:val="26"/>
          <w:szCs w:val="18"/>
        </w:rPr>
        <w:t>sous la référence n° VI/EM/0</w:t>
      </w:r>
      <w:r w:rsidR="00B17F8E" w:rsidRPr="00C10CB7">
        <w:rPr>
          <w:rFonts w:ascii="DIN-Light" w:hAnsi="DIN-Light" w:cs="DIN-Light"/>
          <w:sz w:val="26"/>
          <w:szCs w:val="18"/>
        </w:rPr>
        <w:t>12/2019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 xml:space="preserve">relative à l’émission de l’emprunt obligataire subordonné de </w:t>
      </w:r>
      <w:r w:rsidRPr="00C10CB7">
        <w:rPr>
          <w:rFonts w:ascii="DINBold" w:hAnsi="DINBold" w:cs="DINBold"/>
          <w:b/>
          <w:bCs/>
          <w:sz w:val="26"/>
          <w:szCs w:val="18"/>
        </w:rPr>
        <w:t>Wafasalaf</w:t>
      </w:r>
      <w:r w:rsidRPr="00C10CB7">
        <w:rPr>
          <w:rFonts w:ascii="DIN-Light" w:hAnsi="DIN-Light" w:cs="DIN-Light"/>
          <w:sz w:val="26"/>
          <w:szCs w:val="18"/>
        </w:rPr>
        <w:t>,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qui stipulent une révision annuelle du taux d’intérêt de la tranche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Bold" w:hAnsi="DINBold" w:cs="DINBold"/>
          <w:b/>
          <w:bCs/>
          <w:sz w:val="26"/>
          <w:szCs w:val="18"/>
        </w:rPr>
        <w:t xml:space="preserve">« B » </w:t>
      </w:r>
      <w:r w:rsidRPr="00C10CB7">
        <w:rPr>
          <w:rFonts w:ascii="DIN-Light" w:hAnsi="DIN-Light" w:cs="DIN-Light"/>
          <w:sz w:val="26"/>
          <w:szCs w:val="18"/>
        </w:rPr>
        <w:t>à la date d’anniversaire de la date de jouissance des obligations,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 xml:space="preserve">le nouveau taux d’intérêt qui sera appliqué à partir du </w:t>
      </w:r>
      <w:r w:rsidR="00C10CB7" w:rsidRPr="00C10CB7">
        <w:rPr>
          <w:rFonts w:ascii="DINBold" w:hAnsi="DINBold" w:cs="DINBold"/>
          <w:b/>
          <w:bCs/>
          <w:sz w:val="26"/>
          <w:szCs w:val="18"/>
        </w:rPr>
        <w:t>27 Juin 2022</w:t>
      </w:r>
      <w:r w:rsidRPr="00C10CB7">
        <w:rPr>
          <w:rFonts w:ascii="DINBold" w:hAnsi="DINBold" w:cs="DINBold"/>
          <w:b/>
          <w:bCs/>
          <w:sz w:val="26"/>
          <w:szCs w:val="18"/>
        </w:rPr>
        <w:t xml:space="preserve"> </w:t>
      </w:r>
      <w:r w:rsidRPr="00C10CB7">
        <w:rPr>
          <w:rFonts w:ascii="DIN-Light" w:hAnsi="DIN-Light" w:cs="DIN-Light"/>
          <w:sz w:val="26"/>
          <w:szCs w:val="18"/>
        </w:rPr>
        <w:t>est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de</w:t>
      </w:r>
      <w:r w:rsidR="00C10CB7" w:rsidRPr="00C10CB7">
        <w:rPr>
          <w:rFonts w:ascii="DIN-Light" w:hAnsi="DIN-Light" w:cs="DIN-Light"/>
          <w:sz w:val="26"/>
          <w:szCs w:val="18"/>
        </w:rPr>
        <w:t xml:space="preserve"> </w:t>
      </w:r>
      <w:r w:rsidR="00C10CB7" w:rsidRPr="00270F59">
        <w:rPr>
          <w:rFonts w:ascii="DIN-Light" w:hAnsi="DIN-Light" w:cs="DIN-Light"/>
          <w:b/>
          <w:sz w:val="26"/>
          <w:szCs w:val="18"/>
        </w:rPr>
        <w:t>2,36</w:t>
      </w:r>
      <w:r w:rsidR="009A6ADF" w:rsidRPr="00270F59">
        <w:rPr>
          <w:rFonts w:ascii="DIN-Light" w:hAnsi="DIN-Light" w:cs="DIN-Light"/>
          <w:b/>
          <w:sz w:val="26"/>
          <w:szCs w:val="18"/>
        </w:rPr>
        <w:t>%</w:t>
      </w:r>
      <w:r w:rsidRPr="00270F59">
        <w:rPr>
          <w:rFonts w:ascii="DIN-Light" w:hAnsi="DIN-Light" w:cs="DIN-Light"/>
          <w:b/>
          <w:sz w:val="26"/>
          <w:szCs w:val="18"/>
        </w:rPr>
        <w:t>.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Ce taux est révisable annuellement en référence au taux plein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Bold" w:hAnsi="DINBold" w:cs="DINBold"/>
          <w:b/>
          <w:bCs/>
          <w:sz w:val="26"/>
          <w:szCs w:val="18"/>
        </w:rPr>
        <w:t xml:space="preserve">52 semaines </w:t>
      </w:r>
      <w:r w:rsidRPr="00C10CB7">
        <w:rPr>
          <w:rFonts w:ascii="DIN-Light" w:hAnsi="DIN-Light" w:cs="DIN-Light"/>
          <w:sz w:val="26"/>
          <w:szCs w:val="18"/>
        </w:rPr>
        <w:t>(taux monétaire) calculé en référence à la courbe des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taux de référence du marché secondaire des bons du trésor telle que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 xml:space="preserve">publiée par Bank Al-Maghrib en date du </w:t>
      </w:r>
      <w:r w:rsidR="00C10CB7" w:rsidRPr="00C10CB7">
        <w:rPr>
          <w:rFonts w:ascii="DIN-Light" w:hAnsi="DIN-Light" w:cs="DIN-Light"/>
          <w:b/>
          <w:sz w:val="26"/>
          <w:szCs w:val="18"/>
        </w:rPr>
        <w:t>20</w:t>
      </w:r>
      <w:r w:rsidRPr="00C10CB7">
        <w:rPr>
          <w:rFonts w:ascii="DIN-Light" w:hAnsi="DIN-Light" w:cs="DIN-Light"/>
          <w:b/>
          <w:sz w:val="26"/>
          <w:szCs w:val="18"/>
        </w:rPr>
        <w:t xml:space="preserve"> </w:t>
      </w:r>
      <w:r w:rsidR="00604A1A" w:rsidRPr="00C10CB7">
        <w:rPr>
          <w:rFonts w:ascii="DIN-Light" w:hAnsi="DIN-Light" w:cs="DIN-Light"/>
          <w:b/>
          <w:sz w:val="26"/>
          <w:szCs w:val="18"/>
        </w:rPr>
        <w:t>Juin</w:t>
      </w:r>
      <w:r w:rsidR="00C10CB7" w:rsidRPr="00C10CB7">
        <w:rPr>
          <w:rFonts w:ascii="DIN-Light" w:hAnsi="DIN-Light" w:cs="DIN-Light"/>
          <w:b/>
          <w:sz w:val="26"/>
          <w:szCs w:val="18"/>
        </w:rPr>
        <w:t xml:space="preserve"> 2022</w:t>
      </w:r>
      <w:r w:rsidRPr="00C10CB7">
        <w:rPr>
          <w:rFonts w:ascii="DIN-Light" w:hAnsi="DIN-Light" w:cs="DIN-Light"/>
          <w:sz w:val="26"/>
          <w:szCs w:val="18"/>
        </w:rPr>
        <w:t xml:space="preserve">, soit </w:t>
      </w:r>
      <w:r w:rsidR="00C10CB7" w:rsidRPr="00270F59">
        <w:rPr>
          <w:rFonts w:ascii="DIN-Light" w:hAnsi="DIN-Light" w:cs="DIN-Light"/>
          <w:b/>
          <w:sz w:val="26"/>
          <w:szCs w:val="18"/>
        </w:rPr>
        <w:t>1,76</w:t>
      </w:r>
      <w:r w:rsidR="009A6ADF" w:rsidRPr="00270F59">
        <w:rPr>
          <w:rFonts w:ascii="DIN-Light" w:hAnsi="DIN-Light" w:cs="DIN-Light"/>
          <w:b/>
          <w:sz w:val="26"/>
          <w:szCs w:val="18"/>
        </w:rPr>
        <w:t>%</w:t>
      </w:r>
      <w:r w:rsidRPr="00270F59">
        <w:rPr>
          <w:rFonts w:ascii="DIN-Light" w:hAnsi="DIN-Light" w:cs="DIN-Light"/>
          <w:sz w:val="26"/>
          <w:szCs w:val="18"/>
        </w:rPr>
        <w:t>,</w:t>
      </w:r>
    </w:p>
    <w:p w:rsidR="00440CD2" w:rsidRPr="00C10CB7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26"/>
          <w:szCs w:val="18"/>
        </w:rPr>
      </w:pPr>
      <w:r w:rsidRPr="00C10CB7">
        <w:rPr>
          <w:rFonts w:ascii="DIN-Light" w:hAnsi="DIN-Light" w:cs="DIN-Light"/>
          <w:sz w:val="26"/>
          <w:szCs w:val="18"/>
        </w:rPr>
        <w:t>augmenté d’une prime de risque</w:t>
      </w:r>
      <w:r w:rsidR="00604A1A" w:rsidRPr="00C10CB7">
        <w:rPr>
          <w:rFonts w:ascii="DIN-Light" w:hAnsi="DIN-Light" w:cs="DIN-Light"/>
          <w:sz w:val="26"/>
          <w:szCs w:val="18"/>
        </w:rPr>
        <w:t xml:space="preserve"> de </w:t>
      </w:r>
      <w:r w:rsidR="00604A1A" w:rsidRPr="00270F59">
        <w:rPr>
          <w:rFonts w:ascii="DIN-Light" w:hAnsi="DIN-Light" w:cs="DIN-Light"/>
          <w:b/>
          <w:sz w:val="26"/>
          <w:szCs w:val="18"/>
        </w:rPr>
        <w:t>6</w:t>
      </w:r>
      <w:r w:rsidRPr="00270F59">
        <w:rPr>
          <w:rFonts w:ascii="DIN-Light" w:hAnsi="DIN-Light" w:cs="DIN-Light"/>
          <w:b/>
          <w:sz w:val="26"/>
          <w:szCs w:val="18"/>
        </w:rPr>
        <w:t>0 pbs</w:t>
      </w:r>
      <w:r w:rsidRPr="00C10CB7">
        <w:rPr>
          <w:rFonts w:ascii="DIN-Light" w:hAnsi="DIN-Light" w:cs="DIN-Light"/>
          <w:sz w:val="26"/>
          <w:szCs w:val="18"/>
        </w:rPr>
        <w:t xml:space="preserve">, soit </w:t>
      </w:r>
      <w:r w:rsidR="00C10CB7" w:rsidRPr="00270F59">
        <w:rPr>
          <w:rFonts w:ascii="DIN-Light" w:hAnsi="DIN-Light" w:cs="DIN-Light"/>
          <w:b/>
          <w:sz w:val="26"/>
          <w:szCs w:val="18"/>
        </w:rPr>
        <w:t>2,36</w:t>
      </w:r>
      <w:r w:rsidRPr="00270F59">
        <w:rPr>
          <w:rFonts w:ascii="DIN-Light" w:hAnsi="DIN-Light" w:cs="DIN-Light"/>
          <w:b/>
          <w:sz w:val="26"/>
          <w:szCs w:val="18"/>
        </w:rPr>
        <w:t>%</w:t>
      </w:r>
      <w:r w:rsidRPr="00C10CB7">
        <w:rPr>
          <w:rFonts w:ascii="DIN-Light" w:hAnsi="DIN-Light" w:cs="DIN-Light"/>
          <w:sz w:val="26"/>
          <w:szCs w:val="18"/>
        </w:rPr>
        <w:t xml:space="preserve"> applicable à</w:t>
      </w:r>
    </w:p>
    <w:p w:rsidR="00907589" w:rsidRPr="00C10CB7" w:rsidRDefault="00440CD2" w:rsidP="00440CD2">
      <w:pPr>
        <w:rPr>
          <w:sz w:val="36"/>
        </w:rPr>
      </w:pPr>
      <w:r w:rsidRPr="00C10CB7">
        <w:rPr>
          <w:rFonts w:ascii="DIN-Light" w:hAnsi="DIN-Light" w:cs="DIN-Light"/>
          <w:sz w:val="26"/>
          <w:szCs w:val="18"/>
        </w:rPr>
        <w:t xml:space="preserve">compter </w:t>
      </w:r>
      <w:r w:rsidR="00C10CB7" w:rsidRPr="00C10CB7">
        <w:rPr>
          <w:rFonts w:ascii="DINBold" w:hAnsi="DINBold" w:cs="DINBold"/>
          <w:b/>
          <w:bCs/>
          <w:sz w:val="26"/>
          <w:szCs w:val="18"/>
        </w:rPr>
        <w:t>du 27 Juin 2022</w:t>
      </w:r>
      <w:r w:rsidRPr="00C10CB7">
        <w:rPr>
          <w:rFonts w:ascii="DIN-Light" w:hAnsi="DIN-Light" w:cs="DIN-Light"/>
          <w:sz w:val="26"/>
          <w:szCs w:val="18"/>
        </w:rPr>
        <w:t>.</w:t>
      </w:r>
      <w:bookmarkStart w:id="0" w:name="_GoBack"/>
      <w:bookmarkEnd w:id="0"/>
    </w:p>
    <w:sectPr w:rsidR="00907589" w:rsidRPr="00C1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D2"/>
    <w:rsid w:val="000B6242"/>
    <w:rsid w:val="00270F59"/>
    <w:rsid w:val="002A66CB"/>
    <w:rsid w:val="00440CD2"/>
    <w:rsid w:val="00515347"/>
    <w:rsid w:val="00604A1A"/>
    <w:rsid w:val="007149D8"/>
    <w:rsid w:val="00907589"/>
    <w:rsid w:val="009A6ADF"/>
    <w:rsid w:val="009C7F21"/>
    <w:rsid w:val="00B17F8E"/>
    <w:rsid w:val="00C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CHAARI Mounia</dc:creator>
  <cp:lastModifiedBy>GUIGUI Youssef</cp:lastModifiedBy>
  <cp:revision>20</cp:revision>
  <cp:lastPrinted>2021-06-24T07:57:00Z</cp:lastPrinted>
  <dcterms:created xsi:type="dcterms:W3CDTF">2022-06-22T10:40:00Z</dcterms:created>
  <dcterms:modified xsi:type="dcterms:W3CDTF">2022-06-22T10:53:00Z</dcterms:modified>
</cp:coreProperties>
</file>