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-Light" w:hAnsi="DIN-Light" w:cs="DIN-Light"/>
          <w:sz w:val="18"/>
          <w:szCs w:val="18"/>
        </w:rPr>
        <w:t>Conformément aux dispositions de la note d’information visée par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l’AMMC</w:t>
      </w:r>
      <w:proofErr w:type="gramEnd"/>
      <w:r>
        <w:rPr>
          <w:rFonts w:ascii="DIN-Light" w:hAnsi="DIN-Light" w:cs="DIN-Light"/>
          <w:sz w:val="18"/>
          <w:szCs w:val="18"/>
        </w:rPr>
        <w:t xml:space="preserve"> en date du </w:t>
      </w:r>
      <w:r w:rsidR="009A6ADF">
        <w:rPr>
          <w:rFonts w:ascii="DINBold" w:hAnsi="DINBold" w:cs="DINBold"/>
          <w:b/>
          <w:bCs/>
          <w:sz w:val="18"/>
          <w:szCs w:val="18"/>
        </w:rPr>
        <w:t>15 Septembre</w:t>
      </w:r>
      <w:r>
        <w:rPr>
          <w:rFonts w:ascii="DINBold" w:hAnsi="DINBold" w:cs="DINBold"/>
          <w:b/>
          <w:bCs/>
          <w:sz w:val="18"/>
          <w:szCs w:val="18"/>
        </w:rPr>
        <w:t xml:space="preserve"> 201</w:t>
      </w:r>
      <w:r w:rsidR="009A6ADF">
        <w:rPr>
          <w:rFonts w:ascii="DINBold" w:hAnsi="DINBold" w:cs="DINBold"/>
          <w:b/>
          <w:bCs/>
          <w:sz w:val="18"/>
          <w:szCs w:val="18"/>
        </w:rPr>
        <w:t>7</w:t>
      </w:r>
      <w:r>
        <w:rPr>
          <w:rFonts w:ascii="DINBold" w:hAnsi="DINBold" w:cs="DINBold"/>
          <w:b/>
          <w:bCs/>
          <w:sz w:val="18"/>
          <w:szCs w:val="18"/>
        </w:rPr>
        <w:t xml:space="preserve"> </w:t>
      </w:r>
      <w:r>
        <w:rPr>
          <w:rFonts w:ascii="DIN-Light" w:hAnsi="DIN-Light" w:cs="DIN-Light"/>
          <w:sz w:val="18"/>
          <w:szCs w:val="18"/>
        </w:rPr>
        <w:t>sous la référence n° VI/EM/0</w:t>
      </w:r>
      <w:r w:rsidR="009A6ADF">
        <w:rPr>
          <w:rFonts w:ascii="DIN-Light" w:hAnsi="DIN-Light" w:cs="DIN-Light"/>
          <w:sz w:val="18"/>
          <w:szCs w:val="18"/>
        </w:rPr>
        <w:t>26/2017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relative</w:t>
      </w:r>
      <w:proofErr w:type="gramEnd"/>
      <w:r>
        <w:rPr>
          <w:rFonts w:ascii="DIN-Light" w:hAnsi="DIN-Light" w:cs="DIN-Light"/>
          <w:sz w:val="18"/>
          <w:szCs w:val="18"/>
        </w:rPr>
        <w:t xml:space="preserve"> à l’émission de l’emprunt obligataire subordonné de </w:t>
      </w:r>
      <w:r>
        <w:rPr>
          <w:rFonts w:ascii="DINBold" w:hAnsi="DINBold" w:cs="DINBold"/>
          <w:b/>
          <w:bCs/>
          <w:sz w:val="18"/>
          <w:szCs w:val="18"/>
        </w:rPr>
        <w:t>Wafasalaf</w:t>
      </w:r>
      <w:r>
        <w:rPr>
          <w:rFonts w:ascii="DIN-Light" w:hAnsi="DIN-Light" w:cs="DIN-Light"/>
          <w:sz w:val="18"/>
          <w:szCs w:val="18"/>
        </w:rPr>
        <w:t>,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qui</w:t>
      </w:r>
      <w:proofErr w:type="gramEnd"/>
      <w:r>
        <w:rPr>
          <w:rFonts w:ascii="DIN-Light" w:hAnsi="DIN-Light" w:cs="DIN-Light"/>
          <w:sz w:val="18"/>
          <w:szCs w:val="18"/>
        </w:rPr>
        <w:t xml:space="preserve"> stipulent une révision annuelle du taux d’intérêt de la tranche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Bold" w:hAnsi="DINBold" w:cs="DINBold"/>
          <w:b/>
          <w:bCs/>
          <w:sz w:val="18"/>
          <w:szCs w:val="18"/>
        </w:rPr>
        <w:t xml:space="preserve">« B » </w:t>
      </w:r>
      <w:r>
        <w:rPr>
          <w:rFonts w:ascii="DIN-Light" w:hAnsi="DIN-Light" w:cs="DIN-Light"/>
          <w:sz w:val="18"/>
          <w:szCs w:val="18"/>
        </w:rPr>
        <w:t>à la date d’anniversaire de la date de jouissance des obligations,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le</w:t>
      </w:r>
      <w:proofErr w:type="gramEnd"/>
      <w:r>
        <w:rPr>
          <w:rFonts w:ascii="DIN-Light" w:hAnsi="DIN-Light" w:cs="DIN-Light"/>
          <w:sz w:val="18"/>
          <w:szCs w:val="18"/>
        </w:rPr>
        <w:t xml:space="preserve"> nouveau taux d’intérêt qui sera appliqué à partir du </w:t>
      </w:r>
      <w:r>
        <w:rPr>
          <w:rFonts w:ascii="DINBold" w:hAnsi="DINBold" w:cs="DINBold"/>
          <w:b/>
          <w:bCs/>
          <w:sz w:val="18"/>
          <w:szCs w:val="18"/>
        </w:rPr>
        <w:t>2</w:t>
      </w:r>
      <w:r w:rsidR="009A6ADF">
        <w:rPr>
          <w:rFonts w:ascii="DINBold" w:hAnsi="DINBold" w:cs="DINBold"/>
          <w:b/>
          <w:bCs/>
          <w:sz w:val="18"/>
          <w:szCs w:val="18"/>
        </w:rPr>
        <w:t>9 Septembre</w:t>
      </w:r>
      <w:r>
        <w:rPr>
          <w:rFonts w:ascii="DINBold" w:hAnsi="DINBold" w:cs="DINBold"/>
          <w:b/>
          <w:bCs/>
          <w:sz w:val="18"/>
          <w:szCs w:val="18"/>
        </w:rPr>
        <w:t xml:space="preserve"> 2020 </w:t>
      </w:r>
      <w:r>
        <w:rPr>
          <w:rFonts w:ascii="DIN-Light" w:hAnsi="DIN-Light" w:cs="DIN-Light"/>
          <w:sz w:val="18"/>
          <w:szCs w:val="18"/>
        </w:rPr>
        <w:t>est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de</w:t>
      </w:r>
      <w:proofErr w:type="gramEnd"/>
      <w:r w:rsidR="00515347">
        <w:rPr>
          <w:rFonts w:ascii="DIN-Light" w:hAnsi="DIN-Light" w:cs="DIN-Light"/>
          <w:sz w:val="18"/>
          <w:szCs w:val="18"/>
        </w:rPr>
        <w:t xml:space="preserve"> 2,48</w:t>
      </w:r>
      <w:r w:rsidR="009A6ADF">
        <w:rPr>
          <w:rFonts w:ascii="DIN-Light" w:hAnsi="DIN-Light" w:cs="DIN-Light"/>
          <w:sz w:val="18"/>
          <w:szCs w:val="18"/>
        </w:rPr>
        <w:t>%</w:t>
      </w:r>
      <w:r>
        <w:rPr>
          <w:rFonts w:ascii="DIN-Light" w:hAnsi="DIN-Light" w:cs="DIN-Light"/>
          <w:sz w:val="18"/>
          <w:szCs w:val="18"/>
        </w:rPr>
        <w:t>.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-Light" w:hAnsi="DIN-Light" w:cs="DIN-Light"/>
          <w:sz w:val="18"/>
          <w:szCs w:val="18"/>
        </w:rPr>
        <w:t>Ce taux est révisable annuellement en référence au taux plein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r>
        <w:rPr>
          <w:rFonts w:ascii="DINBold" w:hAnsi="DINBold" w:cs="DINBold"/>
          <w:b/>
          <w:bCs/>
          <w:sz w:val="18"/>
          <w:szCs w:val="18"/>
        </w:rPr>
        <w:t xml:space="preserve">52 semaines </w:t>
      </w:r>
      <w:r>
        <w:rPr>
          <w:rFonts w:ascii="DIN-Light" w:hAnsi="DIN-Light" w:cs="DIN-Light"/>
          <w:sz w:val="18"/>
          <w:szCs w:val="18"/>
        </w:rPr>
        <w:t>(taux monétaire) calculé en référence à la courbe des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taux</w:t>
      </w:r>
      <w:proofErr w:type="gramEnd"/>
      <w:r>
        <w:rPr>
          <w:rFonts w:ascii="DIN-Light" w:hAnsi="DIN-Light" w:cs="DIN-Light"/>
          <w:sz w:val="18"/>
          <w:szCs w:val="18"/>
        </w:rPr>
        <w:t xml:space="preserve"> de référence du marché secondaire des bons du trésor telle que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publiée</w:t>
      </w:r>
      <w:proofErr w:type="gramEnd"/>
      <w:r>
        <w:rPr>
          <w:rFonts w:ascii="DIN-Light" w:hAnsi="DIN-Light" w:cs="DIN-Light"/>
          <w:sz w:val="18"/>
          <w:szCs w:val="18"/>
        </w:rPr>
        <w:t xml:space="preserve"> par Bank Al-</w:t>
      </w:r>
      <w:proofErr w:type="spellStart"/>
      <w:r>
        <w:rPr>
          <w:rFonts w:ascii="DIN-Light" w:hAnsi="DIN-Light" w:cs="DIN-Light"/>
          <w:sz w:val="18"/>
          <w:szCs w:val="18"/>
        </w:rPr>
        <w:t>Maghrib</w:t>
      </w:r>
      <w:proofErr w:type="spellEnd"/>
      <w:r>
        <w:rPr>
          <w:rFonts w:ascii="DIN-Light" w:hAnsi="DIN-Light" w:cs="DIN-Light"/>
          <w:sz w:val="18"/>
          <w:szCs w:val="18"/>
        </w:rPr>
        <w:t xml:space="preserve"> en date du </w:t>
      </w:r>
      <w:r w:rsidRPr="00515347">
        <w:rPr>
          <w:rFonts w:ascii="DIN-Light" w:hAnsi="DIN-Light" w:cs="DIN-Light"/>
          <w:sz w:val="18"/>
          <w:szCs w:val="18"/>
        </w:rPr>
        <w:t>2</w:t>
      </w:r>
      <w:r w:rsidR="00515347">
        <w:rPr>
          <w:rFonts w:ascii="DIN-Light" w:hAnsi="DIN-Light" w:cs="DIN-Light"/>
          <w:sz w:val="18"/>
          <w:szCs w:val="18"/>
        </w:rPr>
        <w:t>3</w:t>
      </w:r>
      <w:r>
        <w:rPr>
          <w:rFonts w:ascii="DIN-Light" w:hAnsi="DIN-Light" w:cs="DIN-Light"/>
          <w:sz w:val="18"/>
          <w:szCs w:val="18"/>
        </w:rPr>
        <w:t xml:space="preserve"> </w:t>
      </w:r>
      <w:r w:rsidR="009A6ADF">
        <w:rPr>
          <w:rFonts w:ascii="DIN-Light" w:hAnsi="DIN-Light" w:cs="DIN-Light"/>
          <w:sz w:val="18"/>
          <w:szCs w:val="18"/>
        </w:rPr>
        <w:t>Septembre</w:t>
      </w:r>
      <w:r>
        <w:rPr>
          <w:rFonts w:ascii="DIN-Light" w:hAnsi="DIN-Light" w:cs="DIN-Light"/>
          <w:sz w:val="18"/>
          <w:szCs w:val="18"/>
        </w:rPr>
        <w:t xml:space="preserve"> 2020, soit </w:t>
      </w:r>
      <w:r w:rsidR="00515347">
        <w:rPr>
          <w:rFonts w:ascii="DIN-Light" w:hAnsi="DIN-Light" w:cs="DIN-Light"/>
          <w:sz w:val="18"/>
          <w:szCs w:val="18"/>
        </w:rPr>
        <w:t>1,68</w:t>
      </w:r>
      <w:r w:rsidR="009A6ADF">
        <w:rPr>
          <w:rFonts w:ascii="DIN-Light" w:hAnsi="DIN-Light" w:cs="DIN-Light"/>
          <w:sz w:val="18"/>
          <w:szCs w:val="18"/>
        </w:rPr>
        <w:t>%</w:t>
      </w:r>
      <w:r>
        <w:rPr>
          <w:rFonts w:ascii="DIN-Light" w:hAnsi="DIN-Light" w:cs="DIN-Light"/>
          <w:sz w:val="18"/>
          <w:szCs w:val="18"/>
        </w:rPr>
        <w:t>,</w:t>
      </w:r>
    </w:p>
    <w:p w:rsidR="00440CD2" w:rsidRDefault="00440CD2" w:rsidP="00440CD2">
      <w:pPr>
        <w:autoSpaceDE w:val="0"/>
        <w:autoSpaceDN w:val="0"/>
        <w:adjustRightInd w:val="0"/>
        <w:spacing w:after="0" w:line="240" w:lineRule="auto"/>
        <w:rPr>
          <w:rFonts w:ascii="DIN-Light" w:hAnsi="DIN-Light" w:cs="DIN-Light"/>
          <w:sz w:val="18"/>
          <w:szCs w:val="18"/>
        </w:rPr>
      </w:pPr>
      <w:proofErr w:type="gramStart"/>
      <w:r>
        <w:rPr>
          <w:rFonts w:ascii="DIN-Light" w:hAnsi="DIN-Light" w:cs="DIN-Light"/>
          <w:sz w:val="18"/>
          <w:szCs w:val="18"/>
        </w:rPr>
        <w:t>augmenté</w:t>
      </w:r>
      <w:proofErr w:type="gramEnd"/>
      <w:r>
        <w:rPr>
          <w:rFonts w:ascii="DIN-Light" w:hAnsi="DIN-Light" w:cs="DIN-Light"/>
          <w:sz w:val="18"/>
          <w:szCs w:val="18"/>
        </w:rPr>
        <w:t xml:space="preserve"> d’une prime de risque</w:t>
      </w:r>
      <w:r w:rsidR="009A6ADF">
        <w:rPr>
          <w:rFonts w:ascii="DIN-Light" w:hAnsi="DIN-Light" w:cs="DIN-Light"/>
          <w:sz w:val="18"/>
          <w:szCs w:val="18"/>
        </w:rPr>
        <w:t xml:space="preserve"> de 8</w:t>
      </w:r>
      <w:r>
        <w:rPr>
          <w:rFonts w:ascii="DIN-Light" w:hAnsi="DIN-Light" w:cs="DIN-Light"/>
          <w:sz w:val="18"/>
          <w:szCs w:val="18"/>
        </w:rPr>
        <w:t xml:space="preserve">0 </w:t>
      </w:r>
      <w:proofErr w:type="spellStart"/>
      <w:r>
        <w:rPr>
          <w:rFonts w:ascii="DIN-Light" w:hAnsi="DIN-Light" w:cs="DIN-Light"/>
          <w:sz w:val="18"/>
          <w:szCs w:val="18"/>
        </w:rPr>
        <w:t>pbs</w:t>
      </w:r>
      <w:proofErr w:type="spellEnd"/>
      <w:r>
        <w:rPr>
          <w:rFonts w:ascii="DIN-Light" w:hAnsi="DIN-Light" w:cs="DIN-Light"/>
          <w:sz w:val="18"/>
          <w:szCs w:val="18"/>
        </w:rPr>
        <w:t xml:space="preserve">, soit </w:t>
      </w:r>
      <w:r w:rsidR="00515347">
        <w:rPr>
          <w:rFonts w:ascii="DIN-Light" w:hAnsi="DIN-Light" w:cs="DIN-Light"/>
          <w:sz w:val="18"/>
          <w:szCs w:val="18"/>
        </w:rPr>
        <w:t>2,48</w:t>
      </w:r>
      <w:r>
        <w:rPr>
          <w:rFonts w:ascii="DIN-Light" w:hAnsi="DIN-Light" w:cs="DIN-Light"/>
          <w:sz w:val="18"/>
          <w:szCs w:val="18"/>
        </w:rPr>
        <w:t>% applicable à</w:t>
      </w:r>
    </w:p>
    <w:p w:rsidR="00907589" w:rsidRDefault="00440CD2" w:rsidP="00440CD2">
      <w:proofErr w:type="gramStart"/>
      <w:r>
        <w:rPr>
          <w:rFonts w:ascii="DIN-Light" w:hAnsi="DIN-Light" w:cs="DIN-Light"/>
          <w:sz w:val="18"/>
          <w:szCs w:val="18"/>
        </w:rPr>
        <w:t>compter</w:t>
      </w:r>
      <w:proofErr w:type="gramEnd"/>
      <w:r>
        <w:rPr>
          <w:rFonts w:ascii="DIN-Light" w:hAnsi="DIN-Light" w:cs="DIN-Light"/>
          <w:sz w:val="18"/>
          <w:szCs w:val="18"/>
        </w:rPr>
        <w:t xml:space="preserve"> </w:t>
      </w:r>
      <w:r>
        <w:rPr>
          <w:rFonts w:ascii="DINBold" w:hAnsi="DINBold" w:cs="DINBold"/>
          <w:b/>
          <w:bCs/>
          <w:sz w:val="18"/>
          <w:szCs w:val="18"/>
        </w:rPr>
        <w:t>du 2</w:t>
      </w:r>
      <w:r w:rsidR="009A6ADF">
        <w:rPr>
          <w:rFonts w:ascii="DINBold" w:hAnsi="DINBold" w:cs="DINBold"/>
          <w:b/>
          <w:bCs/>
          <w:sz w:val="18"/>
          <w:szCs w:val="18"/>
        </w:rPr>
        <w:t>9 Septembre</w:t>
      </w:r>
      <w:r>
        <w:rPr>
          <w:rFonts w:ascii="DINBold" w:hAnsi="DINBold" w:cs="DINBold"/>
          <w:b/>
          <w:bCs/>
          <w:sz w:val="18"/>
          <w:szCs w:val="18"/>
        </w:rPr>
        <w:t xml:space="preserve"> 2020</w:t>
      </w:r>
      <w:r>
        <w:rPr>
          <w:rFonts w:ascii="DIN-Light" w:hAnsi="DIN-Light" w:cs="DIN-Light"/>
          <w:sz w:val="18"/>
          <w:szCs w:val="18"/>
        </w:rPr>
        <w:t>.</w:t>
      </w:r>
    </w:p>
    <w:sectPr w:rsidR="0090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D2"/>
    <w:rsid w:val="00440CD2"/>
    <w:rsid w:val="00515347"/>
    <w:rsid w:val="007149D8"/>
    <w:rsid w:val="00907589"/>
    <w:rsid w:val="009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CHAARI Mounia</dc:creator>
  <cp:lastModifiedBy>CHAARI Mounia</cp:lastModifiedBy>
  <cp:revision>2</cp:revision>
  <dcterms:created xsi:type="dcterms:W3CDTF">2020-09-17T14:11:00Z</dcterms:created>
  <dcterms:modified xsi:type="dcterms:W3CDTF">2020-09-17T14:11:00Z</dcterms:modified>
</cp:coreProperties>
</file>